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78C" w:rsidRDefault="0091159A">
      <w:pPr>
        <w:spacing w:before="100" w:after="60"/>
        <w:jc w:val="center"/>
      </w:pPr>
      <w:r>
        <w:rPr>
          <w:rFonts w:ascii="Georgia" w:eastAsia="Georgia" w:hAnsi="Georgia" w:cs="Georgia"/>
          <w:b/>
          <w:bCs/>
          <w:color w:val="A6192E"/>
          <w:sz w:val="26"/>
          <w:szCs w:val="26"/>
        </w:rPr>
        <w:t>COMUNICATO SINDACALE</w:t>
      </w:r>
    </w:p>
    <w:p w:rsidR="00F0078C" w:rsidRDefault="0091159A">
      <w:pPr>
        <w:spacing w:after="260"/>
        <w:jc w:val="center"/>
      </w:pPr>
      <w:r>
        <w:rPr>
          <w:rFonts w:ascii="Georgia" w:eastAsia="Georgia" w:hAnsi="Georgia" w:cs="Georgia"/>
          <w:b/>
          <w:bCs/>
          <w:sz w:val="22"/>
          <w:szCs w:val="22"/>
        </w:rPr>
        <w:t>Guida all'accesso alle prestazioni sanitarie nei tempi di legge e attivazione del “Percorso di Tutela”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 xml:space="preserve">Il monitoraggio dei tempi di attesa per l'accesso alle prestazioni del Servizio Sanitario Nazionale rappresenta una priorità assoluta per la tutela della salute pubblica e dei diritti dei lavoratori. A fronte delle numerose criticità segnalate dagli iscritti e dai cittadini in fase di prenotazione, </w:t>
      </w:r>
      <w:r w:rsidR="008F39BF">
        <w:rPr>
          <w:sz w:val="21"/>
          <w:szCs w:val="21"/>
        </w:rPr>
        <w:t>il Sindacato</w:t>
      </w:r>
      <w:bookmarkStart w:id="0" w:name="_GoBack"/>
      <w:bookmarkEnd w:id="0"/>
      <w:r>
        <w:rPr>
          <w:sz w:val="21"/>
          <w:szCs w:val="21"/>
        </w:rPr>
        <w:t xml:space="preserve"> FISI ritiene doveroso fornire un'informazione chiara e puntuale sugli strumenti di garanzia previsti dalla normativa vigente.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>Qualora i servizi di prenotazione (CUP) non siano in grado di assicurare una prima visita specialistica o un esame diagnostico entro i termini standard di priorità clinica, il cittadino ha il diritto di attivare il “Percorso di Tutela”, mediante la presentazione di un'apposita istanza per prestazione di primo accesso.</w:t>
      </w:r>
    </w:p>
    <w:p w:rsidR="00F0078C" w:rsidRDefault="0091159A">
      <w:pPr>
        <w:spacing w:before="200" w:after="90"/>
      </w:pPr>
      <w:r>
        <w:rPr>
          <w:rFonts w:ascii="Georgia" w:eastAsia="Georgia" w:hAnsi="Georgia" w:cs="Georgia"/>
          <w:b/>
          <w:bCs/>
          <w:color w:val="A6192E"/>
          <w:sz w:val="22"/>
          <w:szCs w:val="22"/>
        </w:rPr>
        <w:t>I criteri di attivazione — quando presentare la domanda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>L'istanza di tutela è attivabile nei seguenti casi:</w:t>
      </w:r>
    </w:p>
    <w:p w:rsidR="00F0078C" w:rsidRDefault="0091159A">
      <w:pPr>
        <w:pStyle w:val="Paragrafoelenco"/>
        <w:numPr>
          <w:ilvl w:val="0"/>
          <w:numId w:val="2"/>
        </w:numPr>
        <w:spacing w:after="110" w:line="280" w:lineRule="auto"/>
        <w:jc w:val="both"/>
      </w:pPr>
      <w:r>
        <w:rPr>
          <w:b/>
          <w:bCs/>
          <w:sz w:val="21"/>
          <w:szCs w:val="21"/>
        </w:rPr>
        <w:t xml:space="preserve">Superamento dei tempi massimi regionali e nazionali: </w:t>
      </w:r>
      <w:r>
        <w:rPr>
          <w:sz w:val="21"/>
          <w:szCs w:val="21"/>
        </w:rPr>
        <w:t>qualora la prima disponibilità fornita superi i giorni previsti dal codice di priorità indicato sulla ricetta medica (Classe U: 72 ore; Classe B: 10 giorni; Classe D: 30 o 60 giorni; Classe P: 120 giorni).</w:t>
      </w:r>
    </w:p>
    <w:p w:rsidR="00F0078C" w:rsidRDefault="0091159A">
      <w:pPr>
        <w:pStyle w:val="Paragrafoelenco"/>
        <w:numPr>
          <w:ilvl w:val="0"/>
          <w:numId w:val="2"/>
        </w:numPr>
        <w:spacing w:after="110" w:line="280" w:lineRule="auto"/>
        <w:jc w:val="both"/>
      </w:pPr>
      <w:r>
        <w:rPr>
          <w:b/>
          <w:bCs/>
          <w:sz w:val="21"/>
          <w:szCs w:val="21"/>
        </w:rPr>
        <w:t xml:space="preserve">Indisponibilità delle agende di prenotazione: </w:t>
      </w:r>
      <w:r>
        <w:rPr>
          <w:sz w:val="21"/>
          <w:szCs w:val="21"/>
        </w:rPr>
        <w:t>nei casi di temporanea sospensione o blocco delle prenotazioni per ragioni organizzative o strutturali dell'Azienda Sanitaria.</w:t>
      </w:r>
    </w:p>
    <w:p w:rsidR="00F0078C" w:rsidRDefault="0091159A">
      <w:pPr>
        <w:spacing w:before="200" w:after="90"/>
      </w:pPr>
      <w:r>
        <w:rPr>
          <w:rFonts w:ascii="Georgia" w:eastAsia="Georgia" w:hAnsi="Georgia" w:cs="Georgia"/>
          <w:b/>
          <w:bCs/>
          <w:color w:val="A6192E"/>
          <w:sz w:val="22"/>
          <w:szCs w:val="22"/>
        </w:rPr>
        <w:t>Nota specifica per il personale della scuola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>Si precisa, a tutela della trasparenza informativa, che l'attivazione del Percorso di Tutela e l'eventuale garanzia della prestazione — o del relativo rimborso, secondo le modalità previste dalle normative aziendali — sono diritti universali legati al Servizio Sanitario Nazionale. Pertanto, il personale della scuola non ha alcuna necessità di stipulare o attivare polizze assicurative sanitarie private per ottenere l'erogazione della prestazione nei tempi di legge o per l'accesso alle tutele previste.</w:t>
      </w:r>
    </w:p>
    <w:p w:rsidR="00F0078C" w:rsidRDefault="0091159A">
      <w:pPr>
        <w:spacing w:before="200" w:after="90"/>
      </w:pPr>
      <w:r>
        <w:rPr>
          <w:rFonts w:ascii="Georgia" w:eastAsia="Georgia" w:hAnsi="Georgia" w:cs="Georgia"/>
          <w:b/>
          <w:bCs/>
          <w:color w:val="A6192E"/>
          <w:sz w:val="22"/>
          <w:szCs w:val="22"/>
        </w:rPr>
        <w:t>Le due modalità di riscontro del mancato rispetto dei tempi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>Ai fini della presentazione dell'istanza, il modello in uso presso le Aziende Sanitarie prevede due percorsi alternativi ed equivalenti per documentare l'impossibilità di accedere alla prestazione entro i termini di garanzia. L'utente ne sceglierà uno in base alla modalità di prenotazione effettivamente utilizzata:</w:t>
      </w:r>
    </w:p>
    <w:p w:rsidR="00F0078C" w:rsidRDefault="0091159A">
      <w:pPr>
        <w:pStyle w:val="Paragrafoelenco"/>
        <w:numPr>
          <w:ilvl w:val="0"/>
          <w:numId w:val="2"/>
        </w:numPr>
        <w:spacing w:after="110" w:line="280" w:lineRule="auto"/>
        <w:jc w:val="both"/>
      </w:pPr>
      <w:r>
        <w:rPr>
          <w:b/>
          <w:bCs/>
          <w:sz w:val="21"/>
          <w:szCs w:val="21"/>
        </w:rPr>
        <w:t xml:space="preserve">Percorso A — prenotazione allo sportello: </w:t>
      </w:r>
      <w:r>
        <w:rPr>
          <w:sz w:val="21"/>
          <w:szCs w:val="21"/>
        </w:rPr>
        <w:t>il cittadino si reca fisicamente presso lo sportello CUP e viene informato della prima data disponibile per la prestazione in regime ordinario; contestualmente verifica, presso la medesima struttura, la prima data disponibile per la stessa prestazione in regime di libera professione intramuraria (ALPI).</w:t>
      </w:r>
    </w:p>
    <w:p w:rsidR="00F0078C" w:rsidRDefault="0091159A">
      <w:pPr>
        <w:pStyle w:val="Paragrafoelenco"/>
        <w:numPr>
          <w:ilvl w:val="0"/>
          <w:numId w:val="2"/>
        </w:numPr>
        <w:spacing w:after="110" w:line="280" w:lineRule="auto"/>
        <w:jc w:val="both"/>
      </w:pPr>
      <w:r>
        <w:rPr>
          <w:b/>
          <w:bCs/>
          <w:sz w:val="21"/>
          <w:szCs w:val="21"/>
        </w:rPr>
        <w:t xml:space="preserve">Percorso B — prenotazione tramite CUP Web: </w:t>
      </w:r>
      <w:r>
        <w:rPr>
          <w:sz w:val="21"/>
          <w:szCs w:val="21"/>
        </w:rPr>
        <w:t>il cittadino tenta la prenotazione online attraverso il portale CUP Web, riscontrando una prima data disponibile eccedente i termini; contatta quindi il numero dedicato alla libera professione intramuraria per verificare la prima data utile per la stessa prestazione in tale regime.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>In entrambi i casi la dichiarazione è resa ai sensi dell'art. 47 del D.P.R. 28 dicembre 2000, n. 445, con piena assunzione di responsabilità circa la veridicità di quanto attestato: le Aziende Sanitarie si riservano infatti la facoltà di effettuare controlli, anche a campione, ai sensi dell'art. 71 dello stesso decreto, e le dichiarazioni non veritiere sono soggette alle sanzioni penali previste dall'art. 76.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 xml:space="preserve">Si evidenzia che, nella forma attualmente in uso, l'istanza configura una richiesta di rimborso ai sensi dell'art. 3, comma 13, del </w:t>
      </w:r>
      <w:proofErr w:type="spellStart"/>
      <w:proofErr w:type="gramStart"/>
      <w:r>
        <w:rPr>
          <w:sz w:val="21"/>
          <w:szCs w:val="21"/>
        </w:rPr>
        <w:t>D.Lgs</w:t>
      </w:r>
      <w:proofErr w:type="gramEnd"/>
      <w:r>
        <w:rPr>
          <w:sz w:val="21"/>
          <w:szCs w:val="21"/>
        </w:rPr>
        <w:t>.</w:t>
      </w:r>
      <w:proofErr w:type="spellEnd"/>
      <w:r>
        <w:rPr>
          <w:sz w:val="21"/>
          <w:szCs w:val="21"/>
        </w:rPr>
        <w:t xml:space="preserve"> n. 134/1998 per una prestazione già effettuata presso uno specialista privato, e non una semplice richiesta di riprogrammazione della prestazione in ambito pubblico. È pertanto necessario che il cittadino abbia prima sostenuto la spesa privatamente, conservando la relativa fattura quietanzata.</w:t>
      </w:r>
    </w:p>
    <w:p w:rsidR="00F0078C" w:rsidRDefault="0091159A">
      <w:pPr>
        <w:spacing w:before="200" w:after="90"/>
      </w:pPr>
      <w:r>
        <w:rPr>
          <w:rFonts w:ascii="Georgia" w:eastAsia="Georgia" w:hAnsi="Georgia" w:cs="Georgia"/>
          <w:b/>
          <w:bCs/>
          <w:color w:val="A6192E"/>
          <w:sz w:val="22"/>
          <w:szCs w:val="22"/>
        </w:rPr>
        <w:lastRenderedPageBreak/>
        <w:t>L'iter procedurale — i passaggi per il cittadino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>Per l'attivazione della procedura di salvaguardia del tempo di accesso, l'utente dovrà seguire i seguenti passaggi:</w:t>
      </w:r>
    </w:p>
    <w:p w:rsidR="00F0078C" w:rsidRDefault="0091159A">
      <w:pPr>
        <w:pStyle w:val="Paragrafoelenco"/>
        <w:numPr>
          <w:ilvl w:val="0"/>
          <w:numId w:val="3"/>
        </w:numPr>
        <w:spacing w:after="110" w:line="280" w:lineRule="auto"/>
        <w:jc w:val="both"/>
      </w:pPr>
      <w:r>
        <w:rPr>
          <w:b/>
          <w:bCs/>
          <w:sz w:val="21"/>
          <w:szCs w:val="21"/>
        </w:rPr>
        <w:t xml:space="preserve">Acquisizione della documentazione del CUP: </w:t>
      </w:r>
      <w:r>
        <w:rPr>
          <w:sz w:val="21"/>
          <w:szCs w:val="21"/>
        </w:rPr>
        <w:t>è necessario richiedere agli sportelli, o stampare dai sistemi telematici, la ricevuta formale che attesti la data di prenotazione eccedente i termini, seguendo il Percorso A o il Percorso B sopra descritti a seconda della modalità di prenotazione utilizzata.</w:t>
      </w:r>
    </w:p>
    <w:p w:rsidR="00F0078C" w:rsidRDefault="0091159A">
      <w:pPr>
        <w:pStyle w:val="Paragrafoelenco"/>
        <w:numPr>
          <w:ilvl w:val="0"/>
          <w:numId w:val="3"/>
        </w:numPr>
        <w:spacing w:after="110" w:line="280" w:lineRule="auto"/>
        <w:jc w:val="both"/>
      </w:pPr>
      <w:r>
        <w:rPr>
          <w:b/>
          <w:bCs/>
          <w:sz w:val="21"/>
          <w:szCs w:val="21"/>
        </w:rPr>
        <w:t xml:space="preserve">Effettuazione della prestazione in regime privato: </w:t>
      </w:r>
      <w:r>
        <w:rPr>
          <w:sz w:val="21"/>
          <w:szCs w:val="21"/>
        </w:rPr>
        <w:t>qualora si opti per il rimborso, la prestazione va effettuata presso uno specialista privato, conservando la fattura quietanzata rilasciata a fronte del pagamento.</w:t>
      </w:r>
    </w:p>
    <w:p w:rsidR="00F0078C" w:rsidRDefault="0091159A">
      <w:pPr>
        <w:pStyle w:val="Paragrafoelenco"/>
        <w:numPr>
          <w:ilvl w:val="0"/>
          <w:numId w:val="3"/>
        </w:numPr>
        <w:spacing w:after="110" w:line="280" w:lineRule="auto"/>
        <w:jc w:val="both"/>
      </w:pPr>
      <w:r>
        <w:rPr>
          <w:b/>
          <w:bCs/>
          <w:sz w:val="21"/>
          <w:szCs w:val="21"/>
        </w:rPr>
        <w:t xml:space="preserve">Redazione dell'istanza: </w:t>
      </w:r>
      <w:r>
        <w:rPr>
          <w:sz w:val="21"/>
          <w:szCs w:val="21"/>
        </w:rPr>
        <w:t>compilare in ogni sua parte il modello formale di “Istanza per prestazione di primo accesso in regime di percorso di tutela”, reperibile presso la propria Azienda Sanitaria o presso le sedi sindacali, allegando: fotocopia del documento d'identità in corso di validità, fotocopia della tessera sanitaria, fotocopia dell'impegnativa relativa alla prescrizione medica, fattura quietanzata della prestazione effettuata e coordinate IBAN per l'accredito del rimborso.</w:t>
      </w:r>
    </w:p>
    <w:p w:rsidR="00F0078C" w:rsidRDefault="0091159A">
      <w:pPr>
        <w:pStyle w:val="Paragrafoelenco"/>
        <w:numPr>
          <w:ilvl w:val="0"/>
          <w:numId w:val="3"/>
        </w:numPr>
        <w:spacing w:after="110" w:line="280" w:lineRule="auto"/>
        <w:jc w:val="both"/>
      </w:pPr>
      <w:r>
        <w:rPr>
          <w:b/>
          <w:bCs/>
          <w:sz w:val="21"/>
          <w:szCs w:val="21"/>
        </w:rPr>
        <w:t xml:space="preserve">Trasmissione formale: </w:t>
      </w:r>
      <w:r>
        <w:rPr>
          <w:sz w:val="21"/>
          <w:szCs w:val="21"/>
        </w:rPr>
        <w:t>inviare il modulo debitamente sottoscritto alla propria Azienda Sanitaria tramite canali tracciabili (PEC, Raccomandata A/R o deposito diretto presso l'Ufficio Protocollo).</w:t>
      </w: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>A seguito del ricevimento dell'istanza, l'Azienda Sanitaria è tenuta a dare corso all'istruttoria per il riconoscimento del rimborso, ovvero, ove previsto dalle normative aziendali, ad adottare le misure organizzative straordinarie necessarie a garantire l'erogazione della prestazione nel rispetto dei tempi clinici prescritti.</w:t>
      </w:r>
    </w:p>
    <w:p w:rsidR="00F0078C" w:rsidRDefault="00F0078C">
      <w:pPr>
        <w:pBdr>
          <w:top w:val="single" w:sz="6" w:space="8" w:color="CCCCCC"/>
        </w:pBdr>
        <w:spacing w:before="200" w:after="200"/>
      </w:pPr>
    </w:p>
    <w:p w:rsidR="00F0078C" w:rsidRDefault="0091159A">
      <w:pPr>
        <w:spacing w:after="140" w:line="280" w:lineRule="auto"/>
        <w:jc w:val="both"/>
      </w:pPr>
      <w:r>
        <w:rPr>
          <w:sz w:val="21"/>
          <w:szCs w:val="21"/>
        </w:rPr>
        <w:t>Le sedi del</w:t>
      </w:r>
      <w:r w:rsidR="0084380D">
        <w:rPr>
          <w:sz w:val="21"/>
          <w:szCs w:val="21"/>
        </w:rPr>
        <w:t xml:space="preserve"> Sindacato</w:t>
      </w:r>
      <w:r>
        <w:rPr>
          <w:sz w:val="21"/>
          <w:szCs w:val="21"/>
        </w:rPr>
        <w:t xml:space="preserve"> FISI rimangono a disposizione dei lavoratori della scuola e di tutti i cittadini per offrire il supporto tecnico necessario alla corretta istruzione della pratica.</w:t>
      </w:r>
    </w:p>
    <w:p w:rsidR="00F0078C" w:rsidRDefault="00F0078C">
      <w:pPr>
        <w:spacing w:before="200"/>
        <w:jc w:val="right"/>
      </w:pPr>
    </w:p>
    <w:sectPr w:rsidR="00F0078C">
      <w:pgSz w:w="11906" w:h="16838"/>
      <w:pgMar w:top="1152" w:right="1296" w:bottom="1152" w:left="129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1F20"/>
    <w:multiLevelType w:val="hybridMultilevel"/>
    <w:tmpl w:val="8AE8511E"/>
    <w:lvl w:ilvl="0" w:tplc="6EA059AE">
      <w:start w:val="1"/>
      <w:numFmt w:val="bullet"/>
      <w:lvlText w:val="•"/>
      <w:lvlJc w:val="left"/>
      <w:pPr>
        <w:ind w:left="420" w:hanging="260"/>
      </w:pPr>
    </w:lvl>
    <w:lvl w:ilvl="1" w:tplc="D940E5FE">
      <w:numFmt w:val="decimal"/>
      <w:lvlText w:val=""/>
      <w:lvlJc w:val="left"/>
    </w:lvl>
    <w:lvl w:ilvl="2" w:tplc="020A9BF2">
      <w:numFmt w:val="decimal"/>
      <w:lvlText w:val=""/>
      <w:lvlJc w:val="left"/>
    </w:lvl>
    <w:lvl w:ilvl="3" w:tplc="235CFD54">
      <w:numFmt w:val="decimal"/>
      <w:lvlText w:val=""/>
      <w:lvlJc w:val="left"/>
    </w:lvl>
    <w:lvl w:ilvl="4" w:tplc="04A21872">
      <w:numFmt w:val="decimal"/>
      <w:lvlText w:val=""/>
      <w:lvlJc w:val="left"/>
    </w:lvl>
    <w:lvl w:ilvl="5" w:tplc="2A7E9986">
      <w:numFmt w:val="decimal"/>
      <w:lvlText w:val=""/>
      <w:lvlJc w:val="left"/>
    </w:lvl>
    <w:lvl w:ilvl="6" w:tplc="253A7582">
      <w:numFmt w:val="decimal"/>
      <w:lvlText w:val=""/>
      <w:lvlJc w:val="left"/>
    </w:lvl>
    <w:lvl w:ilvl="7" w:tplc="806EA4A0">
      <w:numFmt w:val="decimal"/>
      <w:lvlText w:val=""/>
      <w:lvlJc w:val="left"/>
    </w:lvl>
    <w:lvl w:ilvl="8" w:tplc="41B29666">
      <w:numFmt w:val="decimal"/>
      <w:lvlText w:val=""/>
      <w:lvlJc w:val="left"/>
    </w:lvl>
  </w:abstractNum>
  <w:abstractNum w:abstractNumId="1" w15:restartNumberingAfterBreak="0">
    <w:nsid w:val="1B1D50CC"/>
    <w:multiLevelType w:val="hybridMultilevel"/>
    <w:tmpl w:val="E9C2354E"/>
    <w:lvl w:ilvl="0" w:tplc="763A235A">
      <w:start w:val="1"/>
      <w:numFmt w:val="decimal"/>
      <w:lvlText w:val="%1."/>
      <w:lvlJc w:val="left"/>
      <w:pPr>
        <w:ind w:left="460" w:hanging="300"/>
      </w:pPr>
    </w:lvl>
    <w:lvl w:ilvl="1" w:tplc="BCC2CDF6">
      <w:numFmt w:val="decimal"/>
      <w:lvlText w:val=""/>
      <w:lvlJc w:val="left"/>
    </w:lvl>
    <w:lvl w:ilvl="2" w:tplc="D778A23C">
      <w:numFmt w:val="decimal"/>
      <w:lvlText w:val=""/>
      <w:lvlJc w:val="left"/>
    </w:lvl>
    <w:lvl w:ilvl="3" w:tplc="51AEDFC2">
      <w:numFmt w:val="decimal"/>
      <w:lvlText w:val=""/>
      <w:lvlJc w:val="left"/>
    </w:lvl>
    <w:lvl w:ilvl="4" w:tplc="BA70D122">
      <w:numFmt w:val="decimal"/>
      <w:lvlText w:val=""/>
      <w:lvlJc w:val="left"/>
    </w:lvl>
    <w:lvl w:ilvl="5" w:tplc="B1C0B492">
      <w:numFmt w:val="decimal"/>
      <w:lvlText w:val=""/>
      <w:lvlJc w:val="left"/>
    </w:lvl>
    <w:lvl w:ilvl="6" w:tplc="F18C2B56">
      <w:numFmt w:val="decimal"/>
      <w:lvlText w:val=""/>
      <w:lvlJc w:val="left"/>
    </w:lvl>
    <w:lvl w:ilvl="7" w:tplc="0C24473E">
      <w:numFmt w:val="decimal"/>
      <w:lvlText w:val=""/>
      <w:lvlJc w:val="left"/>
    </w:lvl>
    <w:lvl w:ilvl="8" w:tplc="74BE24AA">
      <w:numFmt w:val="decimal"/>
      <w:lvlText w:val=""/>
      <w:lvlJc w:val="left"/>
    </w:lvl>
  </w:abstractNum>
  <w:abstractNum w:abstractNumId="2" w15:restartNumberingAfterBreak="0">
    <w:nsid w:val="5ACF0926"/>
    <w:multiLevelType w:val="hybridMultilevel"/>
    <w:tmpl w:val="33D03E00"/>
    <w:lvl w:ilvl="0" w:tplc="0C06A006">
      <w:start w:val="1"/>
      <w:numFmt w:val="bullet"/>
      <w:lvlText w:val="●"/>
      <w:lvlJc w:val="left"/>
      <w:pPr>
        <w:ind w:left="720" w:hanging="360"/>
      </w:pPr>
    </w:lvl>
    <w:lvl w:ilvl="1" w:tplc="9566EA8E">
      <w:start w:val="1"/>
      <w:numFmt w:val="bullet"/>
      <w:lvlText w:val="○"/>
      <w:lvlJc w:val="left"/>
      <w:pPr>
        <w:ind w:left="1440" w:hanging="360"/>
      </w:pPr>
    </w:lvl>
    <w:lvl w:ilvl="2" w:tplc="FD288808">
      <w:start w:val="1"/>
      <w:numFmt w:val="bullet"/>
      <w:lvlText w:val="■"/>
      <w:lvlJc w:val="left"/>
      <w:pPr>
        <w:ind w:left="2160" w:hanging="360"/>
      </w:pPr>
    </w:lvl>
    <w:lvl w:ilvl="3" w:tplc="FFC496BE">
      <w:start w:val="1"/>
      <w:numFmt w:val="bullet"/>
      <w:lvlText w:val="●"/>
      <w:lvlJc w:val="left"/>
      <w:pPr>
        <w:ind w:left="2880" w:hanging="360"/>
      </w:pPr>
    </w:lvl>
    <w:lvl w:ilvl="4" w:tplc="72A8341A">
      <w:start w:val="1"/>
      <w:numFmt w:val="bullet"/>
      <w:lvlText w:val="○"/>
      <w:lvlJc w:val="left"/>
      <w:pPr>
        <w:ind w:left="3600" w:hanging="360"/>
      </w:pPr>
    </w:lvl>
    <w:lvl w:ilvl="5" w:tplc="5AB2D39A">
      <w:start w:val="1"/>
      <w:numFmt w:val="bullet"/>
      <w:lvlText w:val="■"/>
      <w:lvlJc w:val="left"/>
      <w:pPr>
        <w:ind w:left="4320" w:hanging="360"/>
      </w:pPr>
    </w:lvl>
    <w:lvl w:ilvl="6" w:tplc="3EAEE72C">
      <w:start w:val="1"/>
      <w:numFmt w:val="bullet"/>
      <w:lvlText w:val="●"/>
      <w:lvlJc w:val="left"/>
      <w:pPr>
        <w:ind w:left="5040" w:hanging="360"/>
      </w:pPr>
    </w:lvl>
    <w:lvl w:ilvl="7" w:tplc="34A4FBD2">
      <w:start w:val="1"/>
      <w:numFmt w:val="bullet"/>
      <w:lvlText w:val="●"/>
      <w:lvlJc w:val="left"/>
      <w:pPr>
        <w:ind w:left="5760" w:hanging="360"/>
      </w:pPr>
    </w:lvl>
    <w:lvl w:ilvl="8" w:tplc="62D2A4E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8C"/>
    <w:rsid w:val="006E283C"/>
    <w:rsid w:val="0084380D"/>
    <w:rsid w:val="008F39BF"/>
    <w:rsid w:val="0091159A"/>
    <w:rsid w:val="00F0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BEC51"/>
  <w15:docId w15:val="{D3B1A218-1CF4-4A91-BBF4-81A830B1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Marciante</dc:creator>
  <cp:lastModifiedBy>Asus</cp:lastModifiedBy>
  <cp:revision>4</cp:revision>
  <dcterms:created xsi:type="dcterms:W3CDTF">2026-09-14T06:07:00Z</dcterms:created>
  <dcterms:modified xsi:type="dcterms:W3CDTF">2026-09-14T06:08:00Z</dcterms:modified>
</cp:coreProperties>
</file>